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工信局</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工信局</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工信局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工信局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hint="eastAsia" w:ascii="黑体" w:hAnsi="宋体" w:eastAsia="黑体" w:cs="黑体"/>
          <w:sz w:val="32"/>
          <w:szCs w:val="32"/>
        </w:rPr>
      </w:pPr>
    </w:p>
    <w:p>
      <w:pPr>
        <w:jc w:val="cente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工信局</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景德镇市工信局为</w:t>
      </w:r>
      <w:r>
        <w:rPr>
          <w:rFonts w:hint="eastAsia" w:ascii="仿宋_GB2312" w:hAnsi="宋体" w:eastAsia="仿宋_GB2312" w:cs="仿宋_GB2312"/>
          <w:sz w:val="32"/>
          <w:szCs w:val="32"/>
        </w:rPr>
        <w:t>市政府</w:t>
      </w:r>
      <w:r>
        <w:rPr>
          <w:rFonts w:hint="eastAsia" w:ascii="仿宋_GB2312" w:hAnsi="宋体" w:eastAsia="仿宋_GB2312" w:cs="仿宋_GB2312"/>
          <w:sz w:val="32"/>
          <w:szCs w:val="32"/>
          <w:lang w:eastAsia="zh-CN"/>
        </w:rPr>
        <w:t>工作</w:t>
      </w:r>
      <w:r>
        <w:rPr>
          <w:rFonts w:hint="eastAsia" w:ascii="仿宋_GB2312" w:hAnsi="宋体" w:eastAsia="仿宋_GB2312" w:cs="仿宋_GB2312"/>
          <w:sz w:val="32"/>
          <w:szCs w:val="32"/>
        </w:rPr>
        <w:t>部门，主要职责是：</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贯彻执行国家、省工业和信息化发展战略、法律法规、规章和政策；拟订全市工业和信息化地方性政策和规范性文件并组织实施，对文件和政策的执行情况进行监督检查；拟订并组织实施工业化与信息化发展规划；协调推进有关战略性新兴产业发展。</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二）监测分析全市工业经济、工业园区、中小微企业运行态势，进行预测预警，协调解决经济运行中的有关问题；负责工业应急管理工作；建立服务全市工业企业（项目）的工作体系，着力协调优化工业企业生产经营环境。</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（三）拟定并组织实施工业行业规划、计划和产业政策，提出优化产业布局、结构调整的政策建议，协调行业发展中的重大问题；办理履行《禁止化学武器公约》的有关事项；负责盐业行政管理和专营工作。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四）负责提出工业和信息化固定资产投资方向与规划，指导推进企业技术改造；按规定权限，审批、核准、备案全市工业和信息化的固定资产投资新建和技术改造项目，承担国家工业和信息化部、省工业和信息化厅审核、批准的投资项目的审核、申报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五）按规定负责工业领域生态环境保护和节能工作，负责工业和信息化节能监察工作，督促指导相关单位落实生态环境保护责任制；拟订并组织实施工业能源节约、资源综合利用、清洁生产促进政策和建设规划；参与拟订污染控制政策，组织协调相关重大示范工程和新产品、新技术、新设备、新材料的推广应用。</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六）承担振兴装备制造业组织协调责任；指导行业技术创新和技术进步，组织推动以企业为主体的技术创新体系建设，组织实施有关科技专项；推进行业技术基础、质量品牌管理，促进工业设计发展，改造提升传统产业；推动软件业、信息服务业和新兴产业发展。</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七）制定并组织实施全市工业园区发展规划，负责全市工业园区的综合协调和指导服务，承担市工业园区工作领导小组办公室的日常工作；按权限负责产业基地的扶持培育和评估认定,推进产业集群式发展；负责中小微企业的综合指导和协调，承担中小企业成长工程的具体实施，建立和完善中小企业服务体系；负责中小微企业创业基地的规划和建设。</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八）指导推进工业企业管理创新，负责企业（不含国资委所监管企业）经营管理人才队伍和信息库建设，拟订企业经营管理人才队伍建设规划和相关政策措施，组织实施企业经营管理人员培训工作，加强企业家队伍建设；负责中小企业经营管理人才评价体系建设工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九）推进企业融资服务体系建设；强化信用管理，配合有关部门指导融资性担保行业发展；促进银企合作，建立和拓宽企业融资渠道，协调解决企业融资有关问题；指导全市中小企业信用担保体系建设，负责中小企业信用担保机构绩效评估。</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（十）指导全市工业和信息化领域加强安全生产，全面贯彻落实《景德镇市安全生产委员会关于印发景德镇市安全生产工作职责暂行规定的通知》（景安字〔2018〕19 号）明确的除市内国防科研生产安全事故调查处理、军工核设施安全监督管理以外的安全生产监督管理职责。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（十一）统筹推进全市信息化工作，组织制定相关政策并协调信息化建设中的重大问题；推进信息化和工业化融合；协调服务通信运营行业发展；推进工业领域信息安全保障。</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（十二）开展工业和信息化的对外合作与交流。</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（十三）承办市政府交办的其他事项。</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景德镇市工信局</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个，包括局本级和所属二级预算单位。编制数为</w:t>
      </w:r>
      <w:r>
        <w:rPr>
          <w:rFonts w:hint="eastAsia" w:ascii="仿宋_GB2312" w:hAnsi="宋体" w:eastAsia="仿宋_GB2312" w:cs="仿宋_GB2312"/>
          <w:sz w:val="32"/>
          <w:szCs w:val="32"/>
          <w:lang w:val="en-US" w:eastAsia="zh-CN"/>
        </w:rPr>
        <w:t>64</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36</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参照公务员管理的事业编制</w:t>
      </w:r>
      <w:r>
        <w:rPr>
          <w:rFonts w:hint="eastAsia" w:ascii="仿宋_GB2312" w:hAnsi="宋体" w:eastAsia="仿宋_GB2312" w:cs="仿宋_GB2312"/>
          <w:sz w:val="32"/>
          <w:szCs w:val="32"/>
          <w:lang w:val="en-US" w:eastAsia="zh-CN"/>
        </w:rPr>
        <w:t>5人、</w:t>
      </w:r>
      <w:r>
        <w:rPr>
          <w:rFonts w:hint="eastAsia" w:ascii="仿宋_GB2312" w:hAnsi="宋体" w:eastAsia="仿宋_GB2312" w:cs="仿宋_GB2312"/>
          <w:sz w:val="32"/>
          <w:szCs w:val="32"/>
        </w:rPr>
        <w:t>全额补助事业编制</w:t>
      </w:r>
      <w:r>
        <w:rPr>
          <w:rFonts w:hint="eastAsia" w:ascii="仿宋_GB2312" w:hAnsi="宋体" w:eastAsia="仿宋_GB2312" w:cs="仿宋_GB2312"/>
          <w:sz w:val="32"/>
          <w:szCs w:val="32"/>
          <w:lang w:val="en-US" w:eastAsia="zh-CN"/>
        </w:rPr>
        <w:t>23</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126</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61</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34</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参照公务员管理的事业编制</w:t>
      </w:r>
      <w:r>
        <w:rPr>
          <w:rFonts w:hint="eastAsia" w:ascii="仿宋_GB2312" w:hAnsi="宋体" w:eastAsia="仿宋_GB2312" w:cs="仿宋_GB2312"/>
          <w:sz w:val="32"/>
          <w:szCs w:val="32"/>
          <w:lang w:val="en-US" w:eastAsia="zh-CN"/>
        </w:rPr>
        <w:t>5人、</w:t>
      </w:r>
      <w:r>
        <w:rPr>
          <w:rFonts w:hint="eastAsia" w:ascii="仿宋_GB2312" w:hAnsi="宋体" w:eastAsia="仿宋_GB2312" w:cs="仿宋_GB2312"/>
          <w:sz w:val="32"/>
          <w:szCs w:val="32"/>
        </w:rPr>
        <w:t>全额补助事业人员</w:t>
      </w:r>
      <w:r>
        <w:rPr>
          <w:rFonts w:hint="eastAsia" w:ascii="仿宋_GB2312" w:hAnsi="宋体" w:eastAsia="仿宋_GB2312" w:cs="仿宋_GB2312"/>
          <w:sz w:val="32"/>
          <w:szCs w:val="32"/>
          <w:lang w:val="en-US" w:eastAsia="zh-CN"/>
        </w:rPr>
        <w:t>22</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65</w:t>
      </w:r>
      <w:r>
        <w:rPr>
          <w:rFonts w:hint="eastAsia" w:ascii="仿宋_GB2312" w:hAnsi="宋体" w:eastAsia="仿宋_GB2312" w:cs="仿宋_GB2312"/>
          <w:sz w:val="32"/>
          <w:szCs w:val="32"/>
        </w:rPr>
        <w:t>人。</w:t>
      </w:r>
    </w:p>
    <w:p>
      <w:pPr>
        <w:ind w:firstLine="640" w:firstLineChars="200"/>
        <w:rPr>
          <w:rFonts w:hint="eastAsia" w:ascii="仿宋_GB2312" w:hAnsi="宋体" w:eastAsia="仿宋_GB2312" w:cs="仿宋_GB2312"/>
          <w:sz w:val="32"/>
          <w:szCs w:val="32"/>
        </w:rPr>
      </w:pPr>
    </w:p>
    <w:p>
      <w:pPr>
        <w:jc w:val="cente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景德镇市工信局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我局</w:t>
      </w:r>
      <w:r>
        <w:rPr>
          <w:rFonts w:hint="eastAsia" w:ascii="仿宋_GB2312" w:hAnsi="宋体" w:eastAsia="仿宋_GB2312" w:cs="仿宋_GB2312"/>
          <w:sz w:val="32"/>
          <w:szCs w:val="32"/>
        </w:rPr>
        <w:t>收入预算总额为874.02万元，与上年预算相比增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7.71%</w:t>
      </w:r>
      <w:r>
        <w:rPr>
          <w:rFonts w:hint="eastAsia" w:ascii="仿宋_GB2312" w:hAnsi="宋体" w:eastAsia="仿宋_GB2312" w:cs="仿宋_GB2312"/>
          <w:sz w:val="32"/>
          <w:szCs w:val="32"/>
        </w:rPr>
        <w:t>，说明情况。其中：当年公共财政拨款收入874.02万元，占收入预算总额的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市工信局</w:t>
      </w:r>
      <w:r>
        <w:rPr>
          <w:rFonts w:hint="eastAsia" w:ascii="仿宋_GB2312" w:hAnsi="宋体" w:eastAsia="仿宋_GB2312" w:cs="仿宋_GB2312"/>
          <w:sz w:val="32"/>
          <w:szCs w:val="32"/>
        </w:rPr>
        <w:t>支出预算总额为874.02万元，与上年预算相比增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7.71%</w:t>
      </w:r>
      <w:r>
        <w:rPr>
          <w:rFonts w:hint="eastAsia" w:ascii="仿宋_GB2312" w:hAnsi="宋体" w:eastAsia="仿宋_GB2312" w:cs="仿宋_GB2312"/>
          <w:sz w:val="32"/>
          <w:szCs w:val="32"/>
        </w:rPr>
        <w:t>，说明情况。其中：按支出项目类别划分：基本支出</w:t>
      </w:r>
      <w:r>
        <w:rPr>
          <w:rFonts w:hint="eastAsia" w:ascii="仿宋_GB2312" w:hAnsi="宋体" w:eastAsia="仿宋_GB2312" w:cs="仿宋_GB2312"/>
          <w:sz w:val="32"/>
          <w:szCs w:val="32"/>
          <w:lang w:val="en-US" w:eastAsia="zh-CN"/>
        </w:rPr>
        <w:t>729.02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83.41</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609.27</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117.23</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2.52</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145</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16.59</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55.7</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89.3</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按支出功能项目科目划分：社会保障和就业支出</w:t>
      </w:r>
      <w:r>
        <w:rPr>
          <w:rFonts w:hint="eastAsia" w:ascii="仿宋_GB2312" w:hAnsi="宋体" w:eastAsia="仿宋_GB2312" w:cs="仿宋_GB2312"/>
          <w:sz w:val="32"/>
          <w:szCs w:val="32"/>
          <w:lang w:val="en-US" w:eastAsia="zh-CN"/>
        </w:rPr>
        <w:t>68.54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7.84</w:t>
      </w:r>
      <w:r>
        <w:rPr>
          <w:rFonts w:ascii="仿宋_GB2312" w:hAnsi="宋体" w:eastAsia="仿宋_GB2312" w:cs="仿宋_GB2312"/>
          <w:sz w:val="32"/>
          <w:szCs w:val="32"/>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75.45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8.63</w:t>
      </w:r>
      <w:r>
        <w:rPr>
          <w:rFonts w:ascii="仿宋_GB2312" w:hAnsi="宋体" w:eastAsia="仿宋_GB2312" w:cs="仿宋_GB2312"/>
          <w:sz w:val="32"/>
          <w:szCs w:val="32"/>
        </w:rPr>
        <w:t>%</w:t>
      </w:r>
      <w:r>
        <w:rPr>
          <w:rFonts w:hint="eastAsia" w:ascii="仿宋_GB2312" w:hAnsi="宋体" w:eastAsia="仿宋_GB2312" w:cs="仿宋_GB2312"/>
          <w:sz w:val="32"/>
          <w:szCs w:val="32"/>
        </w:rPr>
        <w:t>；资源勘探工业信息等支出</w:t>
      </w:r>
      <w:r>
        <w:rPr>
          <w:rFonts w:hint="eastAsia" w:ascii="仿宋_GB2312" w:hAnsi="宋体" w:eastAsia="仿宋_GB2312" w:cs="仿宋_GB2312"/>
          <w:sz w:val="32"/>
          <w:szCs w:val="32"/>
          <w:lang w:val="en-US" w:eastAsia="zh-CN"/>
        </w:rPr>
        <w:t>683.23万元，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78.17</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46.8万元，占支出预算总额的5.36%</w:t>
      </w:r>
      <w:r>
        <w:rPr>
          <w:rFonts w:hint="eastAsia" w:ascii="仿宋_GB2312" w:hAnsi="宋体" w:eastAsia="仿宋_GB2312" w:cs="仿宋_GB2312"/>
          <w:sz w:val="32"/>
          <w:szCs w:val="32"/>
          <w:lang w:eastAsia="zh-CN"/>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664.97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76.08</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206.53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23.63</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2.52万元，占</w:t>
      </w:r>
      <w:r>
        <w:rPr>
          <w:rFonts w:hint="eastAsia" w:ascii="仿宋_GB2312" w:hAnsi="宋体" w:eastAsia="仿宋_GB2312" w:cs="仿宋_GB2312"/>
          <w:sz w:val="32"/>
          <w:szCs w:val="32"/>
        </w:rPr>
        <w:t>支出预算总额的</w:t>
      </w:r>
      <w:r>
        <w:rPr>
          <w:rFonts w:hint="eastAsia" w:ascii="仿宋_GB2312" w:hAnsi="宋体" w:eastAsia="仿宋_GB2312" w:cs="仿宋_GB2312"/>
          <w:sz w:val="32"/>
          <w:szCs w:val="32"/>
          <w:lang w:val="en-US" w:eastAsia="zh-CN"/>
        </w:rPr>
        <w:t>0.29%。</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市工信局财政拨款</w:t>
      </w:r>
      <w:r>
        <w:rPr>
          <w:rFonts w:hint="eastAsia" w:ascii="仿宋_GB2312" w:hAnsi="宋体" w:eastAsia="仿宋_GB2312" w:cs="仿宋_GB2312"/>
          <w:sz w:val="32"/>
          <w:szCs w:val="32"/>
        </w:rPr>
        <w:t>支出预算874.02</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7.71%</w:t>
      </w:r>
      <w:r>
        <w:rPr>
          <w:rFonts w:hint="eastAsia" w:ascii="仿宋_GB2312" w:hAnsi="宋体" w:eastAsia="仿宋_GB2312" w:cs="仿宋_GB2312"/>
          <w:sz w:val="32"/>
          <w:szCs w:val="32"/>
        </w:rPr>
        <w:t>，说明情况。具体支出情况是：社会保障和就业支出</w:t>
      </w:r>
      <w:r>
        <w:rPr>
          <w:rFonts w:hint="eastAsia" w:ascii="仿宋_GB2312" w:hAnsi="宋体" w:eastAsia="仿宋_GB2312" w:cs="仿宋_GB2312"/>
          <w:sz w:val="32"/>
          <w:szCs w:val="32"/>
          <w:lang w:val="en-US" w:eastAsia="zh-CN"/>
        </w:rPr>
        <w:t>68.54</w:t>
      </w:r>
      <w:r>
        <w:rPr>
          <w:rFonts w:hint="eastAsia" w:ascii="仿宋_GB2312" w:hAnsi="宋体" w:eastAsia="仿宋_GB2312" w:cs="仿宋_GB2312"/>
          <w:sz w:val="32"/>
          <w:szCs w:val="32"/>
        </w:rPr>
        <w:t>万元，占公共财政拨款支出预算的</w:t>
      </w:r>
      <w:r>
        <w:rPr>
          <w:rFonts w:hint="eastAsia" w:ascii="仿宋_GB2312" w:hAnsi="宋体" w:eastAsia="仿宋_GB2312" w:cs="仿宋_GB2312"/>
          <w:sz w:val="32"/>
          <w:szCs w:val="32"/>
          <w:lang w:val="en-US" w:eastAsia="zh-CN"/>
        </w:rPr>
        <w:t>7.84</w:t>
      </w:r>
      <w:r>
        <w:rPr>
          <w:rFonts w:ascii="仿宋_GB2312" w:hAnsi="宋体" w:eastAsia="仿宋_GB2312" w:cs="仿宋_GB2312"/>
          <w:sz w:val="32"/>
          <w:szCs w:val="32"/>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75.45</w:t>
      </w:r>
      <w:r>
        <w:rPr>
          <w:rFonts w:hint="eastAsia" w:ascii="仿宋_GB2312" w:hAnsi="宋体" w:eastAsia="仿宋_GB2312" w:cs="仿宋_GB2312"/>
          <w:sz w:val="32"/>
          <w:szCs w:val="32"/>
        </w:rPr>
        <w:t>万元，占公共财政拨款支出预算的</w:t>
      </w:r>
      <w:r>
        <w:rPr>
          <w:rFonts w:hint="eastAsia" w:ascii="仿宋_GB2312" w:hAnsi="宋体" w:eastAsia="仿宋_GB2312" w:cs="仿宋_GB2312"/>
          <w:sz w:val="32"/>
          <w:szCs w:val="32"/>
          <w:lang w:val="en-US" w:eastAsia="zh-CN"/>
        </w:rPr>
        <w:t>8.63</w:t>
      </w:r>
      <w:r>
        <w:rPr>
          <w:rFonts w:ascii="仿宋_GB2312" w:hAnsi="宋体" w:eastAsia="仿宋_GB2312" w:cs="仿宋_GB2312"/>
          <w:sz w:val="32"/>
          <w:szCs w:val="32"/>
        </w:rPr>
        <w:t>%</w:t>
      </w:r>
      <w:r>
        <w:rPr>
          <w:rFonts w:hint="eastAsia" w:ascii="仿宋_GB2312" w:hAnsi="宋体" w:eastAsia="仿宋_GB2312" w:cs="仿宋_GB2312"/>
          <w:sz w:val="32"/>
          <w:szCs w:val="32"/>
        </w:rPr>
        <w:t>；资源勘探工业信息等支出</w:t>
      </w:r>
      <w:r>
        <w:rPr>
          <w:rFonts w:hint="eastAsia" w:ascii="仿宋_GB2312" w:hAnsi="宋体" w:eastAsia="仿宋_GB2312" w:cs="仿宋_GB2312"/>
          <w:sz w:val="32"/>
          <w:szCs w:val="32"/>
          <w:lang w:val="en-US" w:eastAsia="zh-CN"/>
        </w:rPr>
        <w:t>683.23万元，</w:t>
      </w:r>
      <w:r>
        <w:rPr>
          <w:rFonts w:hint="eastAsia" w:ascii="仿宋_GB2312" w:hAnsi="宋体" w:eastAsia="仿宋_GB2312" w:cs="仿宋_GB2312"/>
          <w:sz w:val="32"/>
          <w:szCs w:val="32"/>
        </w:rPr>
        <w:t>占公共财政拨款支出预算的</w:t>
      </w:r>
      <w:r>
        <w:rPr>
          <w:rFonts w:hint="eastAsia" w:ascii="仿宋_GB2312" w:hAnsi="宋体" w:eastAsia="仿宋_GB2312" w:cs="仿宋_GB2312"/>
          <w:sz w:val="32"/>
          <w:szCs w:val="32"/>
          <w:lang w:val="en-US" w:eastAsia="zh-CN"/>
        </w:rPr>
        <w:t>78.17</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46.8万元，占</w:t>
      </w:r>
      <w:r>
        <w:rPr>
          <w:rFonts w:hint="eastAsia" w:ascii="仿宋_GB2312" w:hAnsi="宋体" w:eastAsia="仿宋_GB2312" w:cs="仿宋_GB2312"/>
          <w:sz w:val="32"/>
          <w:szCs w:val="32"/>
        </w:rPr>
        <w:t>公共财政拨款支出预算</w:t>
      </w:r>
      <w:r>
        <w:rPr>
          <w:rFonts w:hint="eastAsia" w:ascii="仿宋_GB2312" w:hAnsi="宋体" w:eastAsia="仿宋_GB2312" w:cs="仿宋_GB2312"/>
          <w:sz w:val="32"/>
          <w:szCs w:val="32"/>
          <w:lang w:val="en-US" w:eastAsia="zh-CN"/>
        </w:rPr>
        <w:t>的5.36%</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市工信局</w:t>
      </w:r>
      <w:r>
        <w:rPr>
          <w:rFonts w:hint="eastAsia" w:ascii="仿宋_GB2312" w:hAnsi="宋体" w:eastAsia="仿宋_GB2312" w:cs="仿宋_GB2312"/>
          <w:sz w:val="32"/>
          <w:szCs w:val="32"/>
        </w:rPr>
        <w:t>部门采购</w:t>
      </w:r>
      <w:r>
        <w:rPr>
          <w:rFonts w:hint="eastAsia" w:ascii="仿宋_GB2312" w:hAnsi="宋体" w:eastAsia="仿宋_GB2312" w:cs="仿宋_GB2312"/>
          <w:sz w:val="32"/>
          <w:szCs w:val="32"/>
          <w:lang w:eastAsia="zh-CN"/>
        </w:rPr>
        <w:t>预算</w:t>
      </w:r>
      <w:r>
        <w:rPr>
          <w:rFonts w:hint="eastAsia" w:ascii="仿宋_GB2312" w:hAnsi="宋体" w:eastAsia="仿宋_GB2312" w:cs="仿宋_GB2312"/>
          <w:sz w:val="32"/>
          <w:szCs w:val="32"/>
          <w:lang w:val="en-US" w:eastAsia="zh-CN"/>
        </w:rPr>
        <w:t>92.38万元，其中：</w:t>
      </w:r>
      <w:r>
        <w:rPr>
          <w:rFonts w:hint="eastAsia" w:ascii="仿宋_GB2312" w:hAnsi="宋体" w:eastAsia="仿宋_GB2312" w:cs="仿宋_GB2312"/>
          <w:sz w:val="32"/>
          <w:szCs w:val="32"/>
        </w:rPr>
        <w:t>政府集中采购</w:t>
      </w:r>
      <w:r>
        <w:rPr>
          <w:rFonts w:hint="eastAsia" w:ascii="仿宋_GB2312" w:hAnsi="宋体" w:eastAsia="仿宋_GB2312" w:cs="仿宋_GB2312"/>
          <w:sz w:val="32"/>
          <w:szCs w:val="32"/>
          <w:lang w:eastAsia="zh-CN"/>
        </w:rPr>
        <w:t>预算</w:t>
      </w:r>
      <w:r>
        <w:rPr>
          <w:rFonts w:hint="eastAsia" w:ascii="仿宋_GB2312" w:hAnsi="宋体" w:eastAsia="仿宋_GB2312" w:cs="仿宋_GB2312"/>
          <w:sz w:val="32"/>
          <w:szCs w:val="32"/>
          <w:lang w:val="en-US" w:eastAsia="zh-CN"/>
        </w:rPr>
        <w:t>89.38万元</w:t>
      </w:r>
      <w:r>
        <w:rPr>
          <w:rFonts w:hint="eastAsia" w:ascii="仿宋_GB2312" w:hAnsi="宋体" w:eastAsia="仿宋_GB2312" w:cs="仿宋_GB2312"/>
          <w:sz w:val="32"/>
          <w:szCs w:val="32"/>
        </w:rPr>
        <w:t>，与上年预算对比增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14%</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配合做好西迁办公设备购置</w:t>
      </w:r>
      <w:r>
        <w:rPr>
          <w:rFonts w:hint="eastAsia" w:ascii="仿宋_GB2312" w:hAnsi="宋体" w:eastAsia="仿宋_GB2312" w:cs="仿宋_GB2312"/>
          <w:sz w:val="32"/>
          <w:szCs w:val="32"/>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无</w:t>
      </w:r>
      <w:r>
        <w:rPr>
          <w:rFonts w:hint="eastAsia" w:ascii="仿宋_GB2312" w:hAnsi="宋体" w:eastAsia="仿宋_GB2312" w:cs="仿宋_GB2312"/>
          <w:sz w:val="32"/>
          <w:szCs w:val="32"/>
        </w:rPr>
        <w:t>政府基金收支</w:t>
      </w:r>
      <w:r>
        <w:rPr>
          <w:rFonts w:hint="eastAsia" w:ascii="仿宋_GB2312" w:hAnsi="宋体" w:eastAsia="仿宋_GB2312" w:cs="仿宋_GB2312"/>
          <w:sz w:val="32"/>
          <w:szCs w:val="32"/>
          <w:lang w:eastAsia="zh-CN"/>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工信</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18.79</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与上年一致</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8.2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与上年一致。</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与上年一致。</w:t>
      </w:r>
      <w:bookmarkStart w:id="0" w:name="_GoBack"/>
      <w:bookmarkEnd w:id="0"/>
    </w:p>
    <w:p>
      <w:pPr>
        <w:jc w:val="center"/>
        <w:rPr>
          <w:rFonts w:hint="eastAsia" w:ascii="黑体" w:hAnsi="宋体" w:eastAsia="黑体" w:cs="黑体"/>
          <w:sz w:val="32"/>
          <w:szCs w:val="32"/>
        </w:rPr>
      </w:pPr>
    </w:p>
    <w:p>
      <w:pPr>
        <w:jc w:val="cente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工信局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cente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lang w:eastAsia="zh-CN"/>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topLinePunct w:val="0"/>
        <w:spacing w:line="600" w:lineRule="exact"/>
        <w:ind w:firstLine="640" w:firstLineChars="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topLinePunct w:val="0"/>
        <w:spacing w:line="600" w:lineRule="exact"/>
        <w:ind w:firstLine="640" w:firstLineChars="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一</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i w:val="0"/>
          <w:color w:val="auto"/>
          <w:kern w:val="0"/>
          <w:sz w:val="32"/>
          <w:szCs w:val="32"/>
          <w:u w:val="none"/>
          <w:lang w:val="en-US" w:eastAsia="zh-CN" w:bidi="ar"/>
        </w:rPr>
        <w:t>社会保障和就业支出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类</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i w:val="0"/>
          <w:color w:val="auto"/>
          <w:kern w:val="0"/>
          <w:sz w:val="32"/>
          <w:szCs w:val="32"/>
          <w:u w:val="none"/>
          <w:lang w:val="en-US" w:eastAsia="zh-CN" w:bidi="ar"/>
        </w:rPr>
        <w:t>行政事业单位养老支出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款</w:t>
      </w:r>
      <w:r>
        <w:rPr>
          <w:rFonts w:hint="eastAsia" w:ascii="仿宋_GB2312" w:hAnsi="仿宋_GB2312" w:eastAsia="仿宋_GB2312" w:cs="仿宋_GB2312"/>
          <w:color w:val="auto"/>
          <w:sz w:val="32"/>
          <w:szCs w:val="32"/>
          <w:u w:val="none"/>
          <w:lang w:eastAsia="zh-CN"/>
        </w:rPr>
        <w:t>）</w:t>
      </w:r>
    </w:p>
    <w:p>
      <w:pPr>
        <w:widowControl/>
        <w:topLinePunct w:val="0"/>
        <w:spacing w:line="600" w:lineRule="exact"/>
        <w:ind w:firstLine="640" w:firstLineChars="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i w:val="0"/>
          <w:color w:val="auto"/>
          <w:kern w:val="0"/>
          <w:sz w:val="32"/>
          <w:szCs w:val="32"/>
          <w:u w:val="none"/>
          <w:lang w:val="en-US" w:eastAsia="zh-CN" w:bidi="ar"/>
        </w:rPr>
        <w:t>行政单位离退休</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）：反映实行归口管理的行政单位（包括实行公务员管理的事业单位）开支的离退休经费。</w:t>
      </w:r>
    </w:p>
    <w:p>
      <w:pPr>
        <w:widowControl/>
        <w:topLinePunct w:val="0"/>
        <w:spacing w:line="600" w:lineRule="exact"/>
        <w:ind w:firstLine="640" w:firstLineChars="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i w:val="0"/>
          <w:color w:val="auto"/>
          <w:kern w:val="0"/>
          <w:sz w:val="32"/>
          <w:szCs w:val="32"/>
          <w:u w:val="none"/>
          <w:lang w:val="en-US" w:eastAsia="zh-CN" w:bidi="ar"/>
        </w:rPr>
        <w:t>事业单位离退休</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）：反映实行归口管理的事业单位开支的离退休经费。</w:t>
      </w:r>
    </w:p>
    <w:p>
      <w:pPr>
        <w:widowControl/>
        <w:numPr>
          <w:ilvl w:val="-1"/>
          <w:numId w:val="0"/>
        </w:numPr>
        <w:topLinePunct w:val="0"/>
        <w:spacing w:line="600" w:lineRule="exact"/>
        <w:ind w:firstLine="640" w:firstLineChars="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i w:val="0"/>
          <w:color w:val="auto"/>
          <w:kern w:val="0"/>
          <w:sz w:val="32"/>
          <w:szCs w:val="32"/>
          <w:u w:val="none"/>
          <w:lang w:val="en-US" w:eastAsia="zh-CN" w:bidi="ar"/>
        </w:rPr>
        <w:t>机关事业单位基本养老保险缴费支出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）：反映机关事业单位实施养老保险制度由单位缴纳的基本养老保险费支出。</w:t>
      </w:r>
    </w:p>
    <w:p>
      <w:pPr>
        <w:widowControl/>
        <w:numPr>
          <w:ilvl w:val="-1"/>
          <w:numId w:val="0"/>
        </w:numPr>
        <w:topLinePunct w:val="0"/>
        <w:spacing w:line="600" w:lineRule="exact"/>
        <w:ind w:firstLine="640" w:firstLineChars="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二</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rPr>
        <w:t>卫生健康支出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类</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行政事业单位医疗</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款</w:t>
      </w:r>
      <w:r>
        <w:rPr>
          <w:rFonts w:hint="eastAsia" w:ascii="仿宋_GB2312" w:hAnsi="仿宋_GB2312" w:eastAsia="仿宋_GB2312" w:cs="仿宋_GB2312"/>
          <w:color w:val="auto"/>
          <w:sz w:val="32"/>
          <w:szCs w:val="32"/>
          <w:u w:val="none"/>
          <w:lang w:eastAsia="zh-CN"/>
        </w:rPr>
        <w:t>）</w:t>
      </w:r>
    </w:p>
    <w:p>
      <w:pPr>
        <w:widowControl/>
        <w:topLinePunct w:val="0"/>
        <w:spacing w:line="600" w:lineRule="exact"/>
        <w:ind w:firstLine="640" w:firstLineChars="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i w:val="0"/>
          <w:color w:val="auto"/>
          <w:kern w:val="0"/>
          <w:sz w:val="32"/>
          <w:szCs w:val="32"/>
          <w:u w:val="none"/>
          <w:lang w:val="en-US" w:eastAsia="zh-CN" w:bidi="ar"/>
        </w:rPr>
        <w:t>行政单位医疗</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）：反映财政部门安排的行政单位（包括实行公务员管理的事业单位）基本医疗保险缴费经费，未参加医疗保险的行政单位的公费医疗经费，按国家规定享受离退休人员、红军老战士待遇人员的医疗经费</w:t>
      </w:r>
      <w:r>
        <w:rPr>
          <w:rFonts w:hint="eastAsia" w:ascii="仿宋_GB2312" w:hAnsi="仿宋_GB2312" w:eastAsia="仿宋_GB2312" w:cs="仿宋_GB2312"/>
          <w:color w:val="auto"/>
          <w:sz w:val="32"/>
          <w:szCs w:val="32"/>
          <w:u w:val="none"/>
          <w:lang w:eastAsia="zh-CN"/>
        </w:rPr>
        <w:t>。</w:t>
      </w:r>
    </w:p>
    <w:p>
      <w:pPr>
        <w:widowControl/>
        <w:topLinePunct w:val="0"/>
        <w:spacing w:line="600" w:lineRule="exact"/>
        <w:ind w:firstLine="640" w:firstLineChars="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事业单位医疗</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）：反映财政部门安排的事业单位基本医疗保险缴费经费，未参加医疗保险的事业单位的公费医疗经费，按国家规定享受离退休人员待遇的医疗经费。</w:t>
      </w:r>
    </w:p>
    <w:p>
      <w:pPr>
        <w:topLinePunct/>
        <w:ind w:firstLine="0" w:firstLineChars="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公务员医疗补助</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反映财政部门安排的公务员医疗补助经费。</w:t>
      </w:r>
    </w:p>
    <w:p>
      <w:pPr>
        <w:numPr>
          <w:ilvl w:val="-1"/>
          <w:numId w:val="0"/>
        </w:numPr>
        <w:topLinePunct/>
        <w:ind w:firstLine="640" w:firstLineChars="20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其他行政事业单位医疗支出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反映其他用于行政事业单位医疗方面的支出。用此科目主要核算工伤保险</w:t>
      </w:r>
      <w:r>
        <w:rPr>
          <w:rFonts w:hint="eastAsia" w:ascii="仿宋_GB2312" w:hAnsi="仿宋_GB2312" w:eastAsia="仿宋_GB2312" w:cs="仿宋_GB2312"/>
          <w:color w:val="auto"/>
          <w:sz w:val="32"/>
          <w:szCs w:val="32"/>
          <w:u w:val="none"/>
          <w:lang w:eastAsia="zh-CN"/>
        </w:rPr>
        <w:t>。</w:t>
      </w:r>
    </w:p>
    <w:p>
      <w:pPr>
        <w:numPr>
          <w:ilvl w:val="-1"/>
          <w:numId w:val="0"/>
        </w:numPr>
        <w:topLinePunct/>
        <w:ind w:firstLine="640" w:firstLineChars="200"/>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（三）</w:t>
      </w:r>
      <w:r>
        <w:rPr>
          <w:rFonts w:hint="eastAsia" w:ascii="仿宋_GB2312" w:hAnsi="仿宋_GB2312" w:eastAsia="仿宋_GB2312" w:cs="仿宋_GB2312"/>
          <w:i w:val="0"/>
          <w:color w:val="auto"/>
          <w:kern w:val="0"/>
          <w:sz w:val="32"/>
          <w:szCs w:val="32"/>
          <w:u w:val="none"/>
          <w:lang w:val="en-US" w:eastAsia="zh-CN" w:bidi="ar"/>
        </w:rPr>
        <w:t>资源勘探工业信息等支出（类）工业和信息产业监管（款）</w:t>
      </w:r>
    </w:p>
    <w:p>
      <w:pPr>
        <w:topLinePunct/>
        <w:ind w:firstLine="640" w:firstLineChars="20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i w:val="0"/>
          <w:color w:val="auto"/>
          <w:kern w:val="0"/>
          <w:sz w:val="32"/>
          <w:szCs w:val="32"/>
          <w:u w:val="none"/>
          <w:lang w:val="en-US" w:eastAsia="zh-CN" w:bidi="ar"/>
        </w:rPr>
        <w:t>行政运行</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）：反映行政单位（包括实行公务员管理的事业单位）的基本支出。</w:t>
      </w:r>
    </w:p>
    <w:p>
      <w:pPr>
        <w:topLinePunct/>
        <w:ind w:firstLine="640" w:firstLineChars="20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i w:val="0"/>
          <w:color w:val="auto"/>
          <w:kern w:val="0"/>
          <w:sz w:val="32"/>
          <w:szCs w:val="32"/>
          <w:u w:val="none"/>
          <w:lang w:val="en-US" w:eastAsia="zh-CN" w:bidi="ar"/>
        </w:rPr>
        <w:t>一般行政管理事务（项）：</w:t>
      </w:r>
      <w:r>
        <w:rPr>
          <w:rFonts w:hint="eastAsia" w:ascii="仿宋_GB2312" w:hAnsi="仿宋_GB2312" w:eastAsia="仿宋_GB2312" w:cs="仿宋_GB2312"/>
          <w:color w:val="auto"/>
          <w:sz w:val="32"/>
          <w:szCs w:val="32"/>
          <w:u w:val="none"/>
          <w:lang w:eastAsia="zh-CN"/>
        </w:rPr>
        <w:t>反映行政单位（包括实行公务员管理的事业单位）未单独设置项级科目的其他项目支出。</w:t>
      </w:r>
    </w:p>
    <w:p>
      <w:pPr>
        <w:topLinePunct/>
        <w:ind w:firstLine="640" w:firstLineChars="200"/>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其他工业和信息产业监管支出</w:t>
      </w:r>
      <w:r>
        <w:rPr>
          <w:rFonts w:hint="eastAsia" w:ascii="仿宋_GB2312" w:hAnsi="仿宋_GB2312" w:eastAsia="仿宋_GB2312" w:cs="仿宋_GB2312"/>
          <w:i w:val="0"/>
          <w:color w:val="auto"/>
          <w:kern w:val="0"/>
          <w:sz w:val="32"/>
          <w:szCs w:val="32"/>
          <w:u w:val="none"/>
          <w:lang w:val="en-US" w:eastAsia="zh-CN" w:bidi="ar"/>
        </w:rPr>
        <w:t>（项）：反映除上述项目以外其他用于工业和信息产业监管方面的支出。</w:t>
      </w:r>
    </w:p>
    <w:p>
      <w:pPr>
        <w:numPr>
          <w:ilvl w:val="0"/>
          <w:numId w:val="2"/>
        </w:numPr>
        <w:topLinePunct/>
        <w:ind w:firstLine="640" w:firstLineChars="20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住房保障支出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类</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住房改革支出</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款</w:t>
      </w:r>
      <w:r>
        <w:rPr>
          <w:rFonts w:hint="eastAsia" w:ascii="仿宋_GB2312" w:hAnsi="仿宋_GB2312" w:eastAsia="仿宋_GB2312" w:cs="仿宋_GB2312"/>
          <w:color w:val="auto"/>
          <w:sz w:val="32"/>
          <w:szCs w:val="32"/>
          <w:u w:val="none"/>
          <w:lang w:eastAsia="zh-CN"/>
        </w:rPr>
        <w:t>）</w:t>
      </w:r>
    </w:p>
    <w:p>
      <w:pPr>
        <w:topLinePunct/>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住房公积金</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项</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反映</w:t>
      </w:r>
      <w:r>
        <w:rPr>
          <w:rFonts w:hint="eastAsia" w:ascii="仿宋_GB2312" w:hAnsi="仿宋_GB2312" w:eastAsia="仿宋_GB2312" w:cs="仿宋_GB2312"/>
          <w:color w:val="auto"/>
          <w:sz w:val="32"/>
          <w:szCs w:val="32"/>
          <w:u w:val="none"/>
          <w:lang w:eastAsia="zh-CN"/>
        </w:rPr>
        <w:t>行政事业单位</w:t>
      </w:r>
      <w:r>
        <w:rPr>
          <w:rFonts w:hint="eastAsia" w:ascii="仿宋_GB2312" w:hAnsi="仿宋_GB2312" w:eastAsia="仿宋_GB2312" w:cs="仿宋_GB2312"/>
          <w:color w:val="auto"/>
          <w:sz w:val="32"/>
          <w:szCs w:val="32"/>
          <w:u w:val="none"/>
        </w:rPr>
        <w:t>按人力资源和社会保障部、财政部规定的基本工资和津贴补贴以及规定比例为职工缴纳的住房公积金。</w:t>
      </w:r>
    </w:p>
    <w:p>
      <w:pPr>
        <w:topLinePunct/>
        <w:ind w:firstLine="160" w:firstLineChars="50"/>
        <w:rPr>
          <w:rFonts w:hint="eastAsia" w:ascii="仿宋" w:hAnsi="仿宋" w:eastAsia="仿宋" w:cs="仿宋"/>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911695"/>
    <w:multiLevelType w:val="singleLevel"/>
    <w:tmpl w:val="C3911695"/>
    <w:lvl w:ilvl="0" w:tentative="0">
      <w:start w:val="4"/>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75F1E27"/>
    <w:rsid w:val="08EE0B31"/>
    <w:rsid w:val="0A326819"/>
    <w:rsid w:val="0A960F7D"/>
    <w:rsid w:val="0CBF216E"/>
    <w:rsid w:val="0FCB58D0"/>
    <w:rsid w:val="11427CB1"/>
    <w:rsid w:val="12340F1C"/>
    <w:rsid w:val="139E3D52"/>
    <w:rsid w:val="162B4B72"/>
    <w:rsid w:val="18AC060B"/>
    <w:rsid w:val="19076E1D"/>
    <w:rsid w:val="1EBD751D"/>
    <w:rsid w:val="1F117155"/>
    <w:rsid w:val="204B45CE"/>
    <w:rsid w:val="25705B71"/>
    <w:rsid w:val="286D2469"/>
    <w:rsid w:val="2D4F2EA5"/>
    <w:rsid w:val="2DBB222D"/>
    <w:rsid w:val="31D40AAE"/>
    <w:rsid w:val="3BD871B8"/>
    <w:rsid w:val="3CF55A87"/>
    <w:rsid w:val="3D9010A7"/>
    <w:rsid w:val="3E385CB2"/>
    <w:rsid w:val="41644325"/>
    <w:rsid w:val="429A727D"/>
    <w:rsid w:val="4C0B7195"/>
    <w:rsid w:val="4D3B293C"/>
    <w:rsid w:val="51B40312"/>
    <w:rsid w:val="57CC144D"/>
    <w:rsid w:val="5A7D13D5"/>
    <w:rsid w:val="5F3D5E62"/>
    <w:rsid w:val="61F32950"/>
    <w:rsid w:val="62B20F12"/>
    <w:rsid w:val="641E7445"/>
    <w:rsid w:val="71452C49"/>
    <w:rsid w:val="72E23348"/>
    <w:rsid w:val="72FD1910"/>
    <w:rsid w:val="73224148"/>
    <w:rsid w:val="776E35B0"/>
    <w:rsid w:val="7B4102B0"/>
    <w:rsid w:val="7C131195"/>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cp:lastPrinted>2020-06-02T09:10:00Z</cp:lastPrinted>
  <dcterms:modified xsi:type="dcterms:W3CDTF">2020-06-19T03:48:16Z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